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8093" w14:textId="1012C880" w:rsidR="00161DF2" w:rsidRPr="0099421C" w:rsidRDefault="00161DF2" w:rsidP="0042061E">
      <w:pPr>
        <w:spacing w:line="480" w:lineRule="auto"/>
        <w:rPr>
          <w:rFonts w:ascii="Times New Roman" w:eastAsia="Times New Roman" w:hAnsi="Times New Roman" w:cs="Times New Roman"/>
          <w:i/>
          <w:iCs/>
          <w:color w:val="000000" w:themeColor="text1"/>
        </w:rPr>
      </w:pPr>
      <w:r w:rsidRPr="0099421C">
        <w:rPr>
          <w:rFonts w:ascii="Times New Roman" w:eastAsia="Times New Roman" w:hAnsi="Times New Roman" w:cs="Times New Roman"/>
          <w:i/>
          <w:iCs/>
          <w:color w:val="000000" w:themeColor="text1"/>
        </w:rPr>
        <w:t xml:space="preserve">Who are the key actors (i.e., policymakers or decision-makers) that you </w:t>
      </w:r>
      <w:r w:rsidR="006B4A10" w:rsidRPr="0099421C">
        <w:rPr>
          <w:rFonts w:ascii="Times New Roman" w:eastAsia="Times New Roman" w:hAnsi="Times New Roman" w:cs="Times New Roman"/>
          <w:i/>
          <w:iCs/>
          <w:color w:val="000000" w:themeColor="text1"/>
        </w:rPr>
        <w:t>should</w:t>
      </w:r>
      <w:r w:rsidRPr="0099421C">
        <w:rPr>
          <w:rFonts w:ascii="Times New Roman" w:eastAsia="Times New Roman" w:hAnsi="Times New Roman" w:cs="Times New Roman"/>
          <w:i/>
          <w:iCs/>
          <w:color w:val="000000" w:themeColor="text1"/>
        </w:rPr>
        <w:t xml:space="preserve"> </w:t>
      </w:r>
      <w:proofErr w:type="gramStart"/>
      <w:r w:rsidRPr="0099421C">
        <w:rPr>
          <w:rFonts w:ascii="Times New Roman" w:eastAsia="Times New Roman" w:hAnsi="Times New Roman" w:cs="Times New Roman"/>
          <w:i/>
          <w:iCs/>
          <w:color w:val="000000" w:themeColor="text1"/>
        </w:rPr>
        <w:t>take into account</w:t>
      </w:r>
      <w:proofErr w:type="gramEnd"/>
      <w:r w:rsidRPr="0099421C">
        <w:rPr>
          <w:rFonts w:ascii="Times New Roman" w:eastAsia="Times New Roman" w:hAnsi="Times New Roman" w:cs="Times New Roman"/>
          <w:i/>
          <w:iCs/>
          <w:color w:val="000000" w:themeColor="text1"/>
        </w:rPr>
        <w:t xml:space="preserve"> for your HRIA? What direct responsibilities or obligations do these actors have in relation to the topic?</w:t>
      </w:r>
    </w:p>
    <w:p w14:paraId="237B0530" w14:textId="722F4B01" w:rsidR="00161DF2" w:rsidRPr="0099421C" w:rsidRDefault="00161DF2" w:rsidP="00161DF2">
      <w:pPr>
        <w:spacing w:line="480" w:lineRule="auto"/>
        <w:ind w:firstLine="720"/>
        <w:rPr>
          <w:rFonts w:ascii="Times New Roman" w:hAnsi="Times New Roman" w:cs="Times New Roman"/>
          <w:color w:val="000000" w:themeColor="text1"/>
        </w:rPr>
      </w:pPr>
      <w:r w:rsidRPr="0099421C">
        <w:rPr>
          <w:rFonts w:ascii="Times New Roman" w:hAnsi="Times New Roman" w:cs="Times New Roman"/>
          <w:color w:val="000000" w:themeColor="text1"/>
        </w:rPr>
        <w:t>The health population assessment and surveillance protocols</w:t>
      </w:r>
      <w:r w:rsidR="0042061E" w:rsidRPr="0099421C">
        <w:rPr>
          <w:rFonts w:ascii="Times New Roman" w:hAnsi="Times New Roman" w:cs="Times New Roman"/>
          <w:color w:val="000000" w:themeColor="text1"/>
        </w:rPr>
        <w:t xml:space="preserve"> in Canada (Ontario) </w:t>
      </w:r>
      <w:r w:rsidRPr="0099421C">
        <w:rPr>
          <w:rFonts w:ascii="Times New Roman" w:hAnsi="Times New Roman" w:cs="Times New Roman"/>
          <w:color w:val="000000" w:themeColor="text1"/>
        </w:rPr>
        <w:t>are quite a vast field that requires a collaborative</w:t>
      </w:r>
      <w:r w:rsidR="004649A9" w:rsidRPr="0099421C">
        <w:rPr>
          <w:rFonts w:ascii="Times New Roman" w:hAnsi="Times New Roman" w:cs="Times New Roman"/>
          <w:color w:val="000000" w:themeColor="text1"/>
        </w:rPr>
        <w:t xml:space="preserve"> effort</w:t>
      </w:r>
      <w:r w:rsidRPr="0099421C">
        <w:rPr>
          <w:rFonts w:ascii="Times New Roman" w:hAnsi="Times New Roman" w:cs="Times New Roman"/>
          <w:color w:val="000000" w:themeColor="text1"/>
        </w:rPr>
        <w:t xml:space="preserve"> between the policymakers within the public health sector. There are two main key actors or policymakers in the whole process who include the Federal government and epidemiologists from the ministry of health. First, the federal government is endowed with the responsibility of ensuring that they come up with the right laws and policies that will help in overseeing that there is an excellent political will that is supposed to assist in developing and coordinating the standards and systems needed to see that the surveillance succeeds. Secondly, the government is charged with the responsibility of ensuring that all financial barriers and logistical barriers are removed by providing that the specialists in public health are well funded to ensure that they perform health assessments and protocols smoothly (Levasseur</w:t>
      </w:r>
      <w:r w:rsidR="0099421C">
        <w:rPr>
          <w:rFonts w:ascii="Times New Roman" w:hAnsi="Times New Roman" w:cs="Times New Roman"/>
          <w:color w:val="000000" w:themeColor="text1"/>
        </w:rPr>
        <w:t xml:space="preserve"> et al.</w:t>
      </w:r>
      <w:r w:rsidRPr="0099421C">
        <w:rPr>
          <w:rFonts w:ascii="Times New Roman" w:hAnsi="Times New Roman" w:cs="Times New Roman"/>
          <w:color w:val="000000" w:themeColor="text1"/>
        </w:rPr>
        <w:t>,2017). Lastly, the government is supposed to ensure that the data collected is well protected so that right to personal privacy of the people involved may be safeguarded to ensure that the data does not fall in the wrong hands.</w:t>
      </w:r>
    </w:p>
    <w:p w14:paraId="2B2DE31E" w14:textId="6401AB6B" w:rsidR="00051374" w:rsidRPr="0099421C" w:rsidRDefault="006B4A10" w:rsidP="00051374">
      <w:pPr>
        <w:spacing w:line="480" w:lineRule="auto"/>
        <w:ind w:firstLine="720"/>
        <w:rPr>
          <w:rFonts w:ascii="Times New Roman" w:hAnsi="Times New Roman" w:cs="Times New Roman"/>
          <w:color w:val="000000" w:themeColor="text1"/>
        </w:rPr>
      </w:pPr>
      <w:r w:rsidRPr="0099421C">
        <w:rPr>
          <w:rFonts w:ascii="Times New Roman" w:hAnsi="Times New Roman" w:cs="Times New Roman"/>
          <w:color w:val="000000" w:themeColor="text1"/>
        </w:rPr>
        <w:t xml:space="preserve">The second key actors are the epidemiologists from the ministry of health. These people stand at the center of the success of the surveillance process. They have a responsibility for designing, implementing, and evaluating surveillance protocols for health population assessment. Secondly, these people are served with the responsibility of designing and conducting a thorough scientific investigation on the population health changes in the population in Ontario by ensuring that human rights are not violated. Thirdly, epidemiologists are also expected to possess high and commendable skills of analyzing and interpreting data captured during investigation </w:t>
      </w:r>
      <w:r w:rsidRPr="0099421C">
        <w:rPr>
          <w:rFonts w:ascii="Times New Roman" w:hAnsi="Times New Roman" w:cs="Times New Roman"/>
          <w:color w:val="000000" w:themeColor="text1"/>
        </w:rPr>
        <w:lastRenderedPageBreak/>
        <w:t xml:space="preserve">professionally; logical assessment on population health is also required; </w:t>
      </w:r>
      <w:r w:rsidR="00051374" w:rsidRPr="0099421C">
        <w:rPr>
          <w:rFonts w:ascii="Times New Roman" w:hAnsi="Times New Roman" w:cs="Times New Roman"/>
          <w:color w:val="000000" w:themeColor="text1"/>
        </w:rPr>
        <w:t>therefore,</w:t>
      </w:r>
      <w:r w:rsidRPr="0099421C">
        <w:rPr>
          <w:rFonts w:ascii="Times New Roman" w:hAnsi="Times New Roman" w:cs="Times New Roman"/>
          <w:color w:val="000000" w:themeColor="text1"/>
        </w:rPr>
        <w:t xml:space="preserve"> these key actors are expected to give substantial recommendations on the right protocols or the changes that can be put in place in ensuring that population health assessment exercises are error-free and respect human rights (</w:t>
      </w:r>
      <w:r w:rsidR="0099421C">
        <w:rPr>
          <w:rFonts w:ascii="Times New Roman" w:hAnsi="Times New Roman" w:cs="Times New Roman"/>
          <w:color w:val="000000" w:themeColor="text1"/>
        </w:rPr>
        <w:t xml:space="preserve">De </w:t>
      </w:r>
      <w:r w:rsidRPr="0099421C">
        <w:rPr>
          <w:rFonts w:ascii="Times New Roman" w:hAnsi="Times New Roman" w:cs="Times New Roman"/>
          <w:color w:val="000000" w:themeColor="text1"/>
        </w:rPr>
        <w:t>Lusignan</w:t>
      </w:r>
      <w:r w:rsidR="0099421C">
        <w:rPr>
          <w:rFonts w:ascii="Times New Roman" w:hAnsi="Times New Roman" w:cs="Times New Roman"/>
          <w:color w:val="000000" w:themeColor="text1"/>
        </w:rPr>
        <w:t xml:space="preserve"> et al.</w:t>
      </w:r>
      <w:r w:rsidRPr="0099421C">
        <w:rPr>
          <w:rFonts w:ascii="Times New Roman" w:hAnsi="Times New Roman" w:cs="Times New Roman"/>
          <w:color w:val="000000" w:themeColor="text1"/>
        </w:rPr>
        <w:t>, 2020).</w:t>
      </w:r>
    </w:p>
    <w:p w14:paraId="368DD58B" w14:textId="2EF61D39" w:rsidR="00051374" w:rsidRPr="0099421C" w:rsidRDefault="00051374" w:rsidP="00051374">
      <w:pPr>
        <w:spacing w:line="480" w:lineRule="auto"/>
        <w:rPr>
          <w:rFonts w:ascii="Times New Roman" w:eastAsia="Times New Roman" w:hAnsi="Times New Roman" w:cs="Times New Roman"/>
          <w:i/>
          <w:iCs/>
          <w:color w:val="000000" w:themeColor="text1"/>
        </w:rPr>
      </w:pPr>
      <w:r w:rsidRPr="0099421C">
        <w:rPr>
          <w:rFonts w:ascii="Times New Roman" w:eastAsia="Times New Roman" w:hAnsi="Times New Roman" w:cs="Times New Roman"/>
          <w:i/>
          <w:iCs/>
          <w:color w:val="000000" w:themeColor="text1"/>
        </w:rPr>
        <w:t>Who are the key stakeholders involved/impacted by the chosen policy/activity and what role are they playing in relation to the topic of your HRIA?</w:t>
      </w:r>
    </w:p>
    <w:p w14:paraId="01358A58" w14:textId="59AE1F25" w:rsidR="001A47A4" w:rsidRPr="0099421C" w:rsidRDefault="001A47A4" w:rsidP="001A47A4">
      <w:pPr>
        <w:spacing w:line="480" w:lineRule="auto"/>
        <w:ind w:firstLine="720"/>
        <w:rPr>
          <w:rFonts w:ascii="Times New Roman" w:hAnsi="Times New Roman" w:cs="Times New Roman"/>
          <w:color w:val="000000" w:themeColor="text1"/>
        </w:rPr>
      </w:pPr>
      <w:r w:rsidRPr="0099421C">
        <w:rPr>
          <w:rFonts w:ascii="Times New Roman" w:hAnsi="Times New Roman" w:cs="Times New Roman"/>
          <w:color w:val="000000" w:themeColor="text1"/>
        </w:rPr>
        <w:t xml:space="preserve">The general public is the critical stakeholder affected by the Population Health Assessment and </w:t>
      </w:r>
      <w:r w:rsidR="004649A9" w:rsidRPr="0099421C">
        <w:rPr>
          <w:rFonts w:ascii="Times New Roman" w:hAnsi="Times New Roman" w:cs="Times New Roman"/>
          <w:color w:val="000000" w:themeColor="text1"/>
        </w:rPr>
        <w:t>S</w:t>
      </w:r>
      <w:r w:rsidRPr="0099421C">
        <w:rPr>
          <w:rFonts w:ascii="Times New Roman" w:hAnsi="Times New Roman" w:cs="Times New Roman"/>
          <w:color w:val="000000" w:themeColor="text1"/>
        </w:rPr>
        <w:t xml:space="preserve">urveillance </w:t>
      </w:r>
      <w:r w:rsidR="004649A9" w:rsidRPr="0099421C">
        <w:rPr>
          <w:rFonts w:ascii="Times New Roman" w:hAnsi="Times New Roman" w:cs="Times New Roman"/>
          <w:color w:val="000000" w:themeColor="text1"/>
        </w:rPr>
        <w:t>P</w:t>
      </w:r>
      <w:r w:rsidRPr="0099421C">
        <w:rPr>
          <w:rFonts w:ascii="Times New Roman" w:hAnsi="Times New Roman" w:cs="Times New Roman"/>
          <w:color w:val="000000" w:themeColor="text1"/>
        </w:rPr>
        <w:t>rotocols. In the process of administrating the health assessment, the p</w:t>
      </w:r>
      <w:r w:rsidR="004649A9" w:rsidRPr="0099421C">
        <w:rPr>
          <w:rFonts w:ascii="Times New Roman" w:hAnsi="Times New Roman" w:cs="Times New Roman"/>
          <w:color w:val="000000" w:themeColor="text1"/>
        </w:rPr>
        <w:t xml:space="preserve">ublic </w:t>
      </w:r>
      <w:r w:rsidRPr="0099421C">
        <w:rPr>
          <w:rFonts w:ascii="Times New Roman" w:hAnsi="Times New Roman" w:cs="Times New Roman"/>
          <w:color w:val="000000" w:themeColor="text1"/>
        </w:rPr>
        <w:t xml:space="preserve">must be involved directly. The public has the responsibility of giving out reliable information concerning various health surveillance issues to be presented by the Ministry of Health (Bull </w:t>
      </w:r>
      <w:r w:rsidR="0099421C">
        <w:rPr>
          <w:rFonts w:ascii="Times New Roman" w:hAnsi="Times New Roman" w:cs="Times New Roman"/>
          <w:color w:val="000000" w:themeColor="text1"/>
        </w:rPr>
        <w:t>et al.</w:t>
      </w:r>
      <w:r w:rsidRPr="0099421C">
        <w:rPr>
          <w:rFonts w:ascii="Times New Roman" w:hAnsi="Times New Roman" w:cs="Times New Roman"/>
          <w:color w:val="000000" w:themeColor="text1"/>
        </w:rPr>
        <w:t xml:space="preserve">,2020). For example, if the ministry of health is investigating the number of people who have contracted sexually transmitted diseases in Ontario, the general public or the specific individuals must come out and deliver reliable information which can be used in developing health protocols that will ensure that cases of sexually transmitted diseases are minimized. If the general public does not disclose the correct information, it will imply that the population assessment and surveillance protocols that will be put in place will not be a true reflection of the fundamental issues on the ground. This suggests that the public must be in the front line in giving reliable information to be used in the assessment of the healthy population and surveillance protocols. The right to liberty in disclosing some of this private information should also be looked into. </w:t>
      </w:r>
    </w:p>
    <w:p w14:paraId="32CBEAC6" w14:textId="32173C1C" w:rsidR="00051374" w:rsidRPr="0099421C" w:rsidRDefault="001A47A4" w:rsidP="001A47A4">
      <w:pPr>
        <w:spacing w:line="480" w:lineRule="auto"/>
        <w:ind w:firstLine="720"/>
        <w:rPr>
          <w:rFonts w:ascii="Times New Roman" w:hAnsi="Times New Roman" w:cs="Times New Roman"/>
          <w:color w:val="000000" w:themeColor="text1"/>
        </w:rPr>
      </w:pPr>
      <w:r w:rsidRPr="0099421C">
        <w:rPr>
          <w:rFonts w:ascii="Times New Roman" w:hAnsi="Times New Roman" w:cs="Times New Roman"/>
          <w:color w:val="000000" w:themeColor="text1"/>
        </w:rPr>
        <w:t xml:space="preserve">Physicians are the second group of stakeholders. This is because they are the direct providers of healthcare needs while the patients are the recipients. They should be involved because they are directly affected by policies that are implemented by the government. The </w:t>
      </w:r>
      <w:r w:rsidRPr="0099421C">
        <w:rPr>
          <w:rFonts w:ascii="Times New Roman" w:hAnsi="Times New Roman" w:cs="Times New Roman"/>
          <w:color w:val="000000" w:themeColor="text1"/>
        </w:rPr>
        <w:lastRenderedPageBreak/>
        <w:t>employer of the physicians should also be involved since they are interested in paying, disciplining, and ensuring that the physicians observe the set policies by the government. The physicians keep records of their patients as required by their employer and government; therefore, they will provide them to be compared to data collected from the public. Insurance companies and pharmaceutical firms are also key stakeholders; thus, they should be involved because they are directly and indirectly affected by policies implemented by the government. In the case of how many people have contracted sexually transmitted diseases in Ontario, insurance companies will provide data on how many cases they have covered, while pharmaceutical companies will provide information on the amount of supply made on products for treating STDs in Ontario.</w:t>
      </w:r>
    </w:p>
    <w:p w14:paraId="4069DBD5" w14:textId="3CE745BB" w:rsidR="001A47A4" w:rsidRPr="0099421C" w:rsidRDefault="001A47A4" w:rsidP="001A47A4">
      <w:pPr>
        <w:spacing w:line="480" w:lineRule="auto"/>
        <w:rPr>
          <w:rFonts w:ascii="Times New Roman" w:hAnsi="Times New Roman" w:cs="Times New Roman"/>
          <w:i/>
          <w:iCs/>
          <w:color w:val="000000" w:themeColor="text1"/>
        </w:rPr>
      </w:pPr>
      <w:r w:rsidRPr="0099421C">
        <w:rPr>
          <w:rFonts w:ascii="Times New Roman" w:eastAsia="Times New Roman" w:hAnsi="Times New Roman" w:cs="Times New Roman"/>
          <w:i/>
          <w:iCs/>
          <w:color w:val="000000" w:themeColor="text1"/>
        </w:rPr>
        <w:t>What sources from law, policy, and the academic/grey literatures have you identified that will provide relevant data, information, and/or resources in relation to the topic of your HRIA? You should list all these sources and include your search strategy.</w:t>
      </w:r>
    </w:p>
    <w:p w14:paraId="2EACCEFF" w14:textId="38BC9A3E" w:rsidR="00051374" w:rsidRPr="0099421C" w:rsidRDefault="001A47A4" w:rsidP="001A47A4">
      <w:pPr>
        <w:spacing w:line="480" w:lineRule="auto"/>
        <w:ind w:firstLine="720"/>
        <w:rPr>
          <w:rFonts w:ascii="Times New Roman" w:hAnsi="Times New Roman" w:cs="Times New Roman"/>
          <w:color w:val="000000" w:themeColor="text1"/>
        </w:rPr>
      </w:pPr>
      <w:r w:rsidRPr="0099421C">
        <w:rPr>
          <w:rFonts w:ascii="Times New Roman" w:hAnsi="Times New Roman" w:cs="Times New Roman"/>
          <w:color w:val="000000" w:themeColor="text1"/>
        </w:rPr>
        <w:t xml:space="preserve">In any sensitive data collection or sensitive information gathering, there is a dire need to consider the law standing on data privacy and other related issues. Patient data in Ontario is protected under Ontario’s personal health information act, which governs how personal information may be used for the purpose of research in the health sector without interfering with patient’s privacy. In that connection, one of </w:t>
      </w:r>
      <w:r w:rsidR="00284516" w:rsidRPr="0099421C">
        <w:rPr>
          <w:rFonts w:ascii="Times New Roman" w:hAnsi="Times New Roman" w:cs="Times New Roman"/>
          <w:color w:val="000000" w:themeColor="text1"/>
        </w:rPr>
        <w:t>my</w:t>
      </w:r>
      <w:r w:rsidRPr="0099421C">
        <w:rPr>
          <w:rFonts w:ascii="Times New Roman" w:hAnsi="Times New Roman" w:cs="Times New Roman"/>
          <w:color w:val="000000" w:themeColor="text1"/>
        </w:rPr>
        <w:t xml:space="preserve"> first stop over avenue was gathering all the laws and policies laid by the federal government relating to population health assessment and surveillance protocols. This will involve looking into all the laws pertaining to human rights as a way of ensuring when conducting the evaluation, no human rights will be violated. Referring to </w:t>
      </w:r>
      <w:r w:rsidR="00284516" w:rsidRPr="0099421C">
        <w:rPr>
          <w:rFonts w:ascii="Times New Roman" w:hAnsi="Times New Roman" w:cs="Times New Roman"/>
          <w:color w:val="000000" w:themeColor="text1"/>
        </w:rPr>
        <w:t xml:space="preserve">the </w:t>
      </w:r>
      <w:r w:rsidRPr="0099421C">
        <w:rPr>
          <w:rFonts w:ascii="Times New Roman" w:hAnsi="Times New Roman" w:cs="Times New Roman"/>
          <w:color w:val="000000" w:themeColor="text1"/>
        </w:rPr>
        <w:t xml:space="preserve">interests in the study of population health assessment and surveillance protocols, I performed a completed initial set of searches in PubMed and PsycINFO databases which contains over four </w:t>
      </w:r>
      <w:r w:rsidRPr="0099421C">
        <w:rPr>
          <w:rFonts w:ascii="Times New Roman" w:hAnsi="Times New Roman" w:cs="Times New Roman"/>
          <w:color w:val="000000" w:themeColor="text1"/>
        </w:rPr>
        <w:lastRenderedPageBreak/>
        <w:t xml:space="preserve">million records in nursing, sociology, human developments, economics, and social sciences kinds of literature. To be more specific in reaching </w:t>
      </w:r>
      <w:r w:rsidR="00284516" w:rsidRPr="0099421C">
        <w:rPr>
          <w:rFonts w:ascii="Times New Roman" w:hAnsi="Times New Roman" w:cs="Times New Roman"/>
          <w:color w:val="000000" w:themeColor="text1"/>
        </w:rPr>
        <w:t xml:space="preserve">my </w:t>
      </w:r>
      <w:r w:rsidRPr="0099421C">
        <w:rPr>
          <w:rFonts w:ascii="Times New Roman" w:hAnsi="Times New Roman" w:cs="Times New Roman"/>
          <w:color w:val="000000" w:themeColor="text1"/>
        </w:rPr>
        <w:t>targets,</w:t>
      </w:r>
      <w:r w:rsidR="00284516" w:rsidRPr="0099421C">
        <w:rPr>
          <w:rFonts w:ascii="Times New Roman" w:hAnsi="Times New Roman" w:cs="Times New Roman"/>
          <w:color w:val="000000" w:themeColor="text1"/>
        </w:rPr>
        <w:t xml:space="preserve"> my s</w:t>
      </w:r>
      <w:r w:rsidRPr="0099421C">
        <w:rPr>
          <w:rFonts w:ascii="Times New Roman" w:hAnsi="Times New Roman" w:cs="Times New Roman"/>
          <w:color w:val="000000" w:themeColor="text1"/>
        </w:rPr>
        <w:t xml:space="preserve">earching algorithm involved the use of combinations of keywords like Human rights in Health, Health population, active surveillance, integrated surveillance, routine health information system, syndromic surveillance, passive surveillance, behavioral risk factor surveillance, and health information system. From there, there was a further need to narrow my search to showcase specific articles </w:t>
      </w:r>
      <w:r w:rsidR="00284516" w:rsidRPr="0099421C">
        <w:rPr>
          <w:rFonts w:ascii="Times New Roman" w:hAnsi="Times New Roman" w:cs="Times New Roman"/>
          <w:color w:val="000000" w:themeColor="text1"/>
        </w:rPr>
        <w:t>for</w:t>
      </w:r>
      <w:r w:rsidRPr="0099421C">
        <w:rPr>
          <w:rFonts w:ascii="Times New Roman" w:hAnsi="Times New Roman" w:cs="Times New Roman"/>
          <w:color w:val="000000" w:themeColor="text1"/>
        </w:rPr>
        <w:t xml:space="preserve"> my choice. Canadian hospital database will also be used to show the information that will be collected from different health centers that will be collected include prescription, medication, and procedures. Ontario data platform </w:t>
      </w:r>
      <w:r w:rsidR="006B7AD1" w:rsidRPr="0099421C">
        <w:rPr>
          <w:rFonts w:ascii="Times New Roman" w:hAnsi="Times New Roman" w:cs="Times New Roman"/>
          <w:color w:val="000000" w:themeColor="text1"/>
        </w:rPr>
        <w:t>(</w:t>
      </w:r>
      <w:r w:rsidRPr="0099421C">
        <w:rPr>
          <w:rFonts w:ascii="Times New Roman" w:hAnsi="Times New Roman" w:cs="Times New Roman"/>
          <w:color w:val="000000" w:themeColor="text1"/>
        </w:rPr>
        <w:t>OHDP</w:t>
      </w:r>
      <w:r w:rsidR="006B7AD1" w:rsidRPr="0099421C">
        <w:rPr>
          <w:rFonts w:ascii="Times New Roman" w:hAnsi="Times New Roman" w:cs="Times New Roman"/>
          <w:color w:val="000000" w:themeColor="text1"/>
        </w:rPr>
        <w:t xml:space="preserve">) </w:t>
      </w:r>
      <w:r w:rsidRPr="0099421C">
        <w:rPr>
          <w:rFonts w:ascii="Times New Roman" w:hAnsi="Times New Roman" w:cs="Times New Roman"/>
          <w:color w:val="000000" w:themeColor="text1"/>
        </w:rPr>
        <w:t>is committed to making data available for researchers by offering resources for computing as well as computing support. OHDP does this to get feedback that gives an insight about the performance of healthcare, distribution of healthcare to poor populations, and that they can get to know areas that require improvement.</w:t>
      </w:r>
    </w:p>
    <w:p w14:paraId="7DBEC15E" w14:textId="4AF423C0" w:rsidR="001A47A4" w:rsidRPr="0099421C" w:rsidRDefault="001A47A4" w:rsidP="001A47A4">
      <w:pPr>
        <w:spacing w:line="480" w:lineRule="auto"/>
        <w:rPr>
          <w:rFonts w:ascii="Times New Roman" w:eastAsia="Times New Roman" w:hAnsi="Times New Roman" w:cs="Times New Roman"/>
          <w:i/>
          <w:iCs/>
          <w:color w:val="000000" w:themeColor="text1"/>
        </w:rPr>
      </w:pPr>
      <w:r w:rsidRPr="0099421C">
        <w:rPr>
          <w:rFonts w:ascii="Times New Roman" w:eastAsia="Times New Roman" w:hAnsi="Times New Roman" w:cs="Times New Roman"/>
          <w:i/>
          <w:iCs/>
          <w:color w:val="000000" w:themeColor="text1"/>
        </w:rPr>
        <w:t>Of all the sources you found in question (3), which are the most relevant and/or important sources that you will rely on within your HRIA.</w:t>
      </w:r>
    </w:p>
    <w:p w14:paraId="130C6A60" w14:textId="7A366FC1" w:rsidR="001A47A4" w:rsidRPr="0099421C" w:rsidRDefault="001A47A4" w:rsidP="001A47A4">
      <w:pPr>
        <w:spacing w:line="480" w:lineRule="auto"/>
        <w:ind w:firstLine="720"/>
        <w:rPr>
          <w:rFonts w:ascii="Times New Roman" w:eastAsia="Times New Roman" w:hAnsi="Times New Roman" w:cs="Times New Roman"/>
          <w:color w:val="000000" w:themeColor="text1"/>
        </w:rPr>
      </w:pPr>
      <w:r w:rsidRPr="0099421C">
        <w:rPr>
          <w:rFonts w:ascii="Times New Roman" w:eastAsia="Times New Roman" w:hAnsi="Times New Roman" w:cs="Times New Roman"/>
          <w:color w:val="000000" w:themeColor="text1"/>
        </w:rPr>
        <w:t xml:space="preserve">From the materials I reviewed, the government policies set through the ministry of health department became one of my most reliable data for use because these policies encompass bills of human rights to be observed. Government policies are the pacesetter from which all other source is derived. It is the bottom line of all policies because it must be considered before coming up with the different policies. Secondly, after searching throughout the databases that included PubMed, PsychoInfo, the Canadian hospital database, and the OHDP, I performed a Prisma test to sort out the best articles that I could use in addressing the population health assessment and surveillance protocols. I narrowed it down to a list of five articles that have been published in the databases. In total, I had six materials to review, that is, the five articles and the </w:t>
      </w:r>
      <w:r w:rsidRPr="0099421C">
        <w:rPr>
          <w:rFonts w:ascii="Times New Roman" w:eastAsia="Times New Roman" w:hAnsi="Times New Roman" w:cs="Times New Roman"/>
          <w:color w:val="000000" w:themeColor="text1"/>
        </w:rPr>
        <w:lastRenderedPageBreak/>
        <w:t>government policy document. These articles, to my best knowledge, contain the critical things needed to investigate objectively, to get answers to the issues surrounding population Health Assessment and Surveillance Protocol. The Canadian hospital database was crucial because it covered the population uniformly in such a way that both the poor and the rich data is found since it’s a public utility. It also indicated the distribution of healthcare facilities in Canada, give an insight on which places had poor distribution of healthcare provision. OHDP is also very crucial since they offered computing training to help reduce the probability of occurrence of errors while computing. PubInfo contains information about the psychological well-being of a population, which is very vital.</w:t>
      </w:r>
    </w:p>
    <w:p w14:paraId="2A7FED65" w14:textId="73272729" w:rsidR="001A47A4" w:rsidRPr="0099421C" w:rsidRDefault="001A47A4" w:rsidP="001A47A4">
      <w:pPr>
        <w:spacing w:line="480" w:lineRule="auto"/>
        <w:rPr>
          <w:rFonts w:ascii="Times New Roman" w:eastAsia="Times New Roman" w:hAnsi="Times New Roman" w:cs="Times New Roman"/>
          <w:i/>
          <w:iCs/>
          <w:color w:val="000000" w:themeColor="text1"/>
        </w:rPr>
      </w:pPr>
      <w:r w:rsidRPr="0099421C">
        <w:rPr>
          <w:rFonts w:ascii="Times New Roman" w:eastAsia="Times New Roman" w:hAnsi="Times New Roman" w:cs="Times New Roman"/>
          <w:i/>
          <w:iCs/>
          <w:color w:val="000000" w:themeColor="text1"/>
        </w:rPr>
        <w:t>What indicators, metrics, or evidence (e.g., quantitative, qualitative, normative) do you plan to use in performing your assessment?</w:t>
      </w:r>
    </w:p>
    <w:p w14:paraId="79BF318C" w14:textId="45DA7E33" w:rsidR="0042061E" w:rsidRPr="0099421C" w:rsidRDefault="0042061E" w:rsidP="0042061E">
      <w:pPr>
        <w:spacing w:line="480" w:lineRule="auto"/>
        <w:ind w:firstLine="720"/>
        <w:rPr>
          <w:rFonts w:ascii="Times New Roman" w:eastAsia="Times New Roman" w:hAnsi="Times New Roman" w:cs="Times New Roman"/>
          <w:color w:val="000000" w:themeColor="text1"/>
        </w:rPr>
      </w:pPr>
      <w:r w:rsidRPr="0099421C">
        <w:rPr>
          <w:rFonts w:ascii="Times New Roman" w:eastAsia="Times New Roman" w:hAnsi="Times New Roman" w:cs="Times New Roman"/>
          <w:color w:val="000000" w:themeColor="text1"/>
        </w:rPr>
        <w:t xml:space="preserve">The study and analysis of the six materials obtained will take both quantitative analysis and qualitative analysis. This is because in understanding the overall population health of a given population, you must engage quite an enormous number of individuals, and certainly, the research articles found have gotten considerable data analysis portfolios that need questioning so that I can narrow down to a well-pivoted solution or answer to what exactly needs to be done in refining and performing population health assessment and the proper protocol required. This way, a quantitative analytical approach will be crucial for better and well-informed results. Lastly, population health assessment and surveillance protocol also demand a well-structured qualitative analysis </w:t>
      </w:r>
      <w:r w:rsidR="00284516" w:rsidRPr="0099421C">
        <w:rPr>
          <w:rFonts w:ascii="Times New Roman" w:eastAsia="Times New Roman" w:hAnsi="Times New Roman" w:cs="Times New Roman"/>
          <w:color w:val="000000" w:themeColor="text1"/>
        </w:rPr>
        <w:t>to</w:t>
      </w:r>
      <w:r w:rsidRPr="0099421C">
        <w:rPr>
          <w:rFonts w:ascii="Times New Roman" w:eastAsia="Times New Roman" w:hAnsi="Times New Roman" w:cs="Times New Roman"/>
          <w:color w:val="000000" w:themeColor="text1"/>
        </w:rPr>
        <w:t xml:space="preserve"> determine a particular frequency of characteristics on people’s health within a specific timeline.</w:t>
      </w:r>
    </w:p>
    <w:p w14:paraId="40164BFA" w14:textId="309191E8" w:rsidR="001A47A4" w:rsidRPr="0099421C" w:rsidRDefault="0042061E" w:rsidP="0042061E">
      <w:pPr>
        <w:spacing w:line="480" w:lineRule="auto"/>
        <w:rPr>
          <w:rFonts w:ascii="Times New Roman" w:eastAsia="Times New Roman" w:hAnsi="Times New Roman" w:cs="Times New Roman"/>
          <w:color w:val="000000" w:themeColor="text1"/>
        </w:rPr>
      </w:pPr>
      <w:r w:rsidRPr="0099421C">
        <w:rPr>
          <w:rFonts w:ascii="Times New Roman" w:eastAsia="Times New Roman" w:hAnsi="Times New Roman" w:cs="Times New Roman"/>
          <w:color w:val="000000" w:themeColor="text1"/>
        </w:rPr>
        <w:t xml:space="preserve">Some of the indicators planned to use in the survey was the rate of participation by the members of the public; more members would indicate that a large number of data would be collected, and </w:t>
      </w:r>
      <w:r w:rsidRPr="0099421C">
        <w:rPr>
          <w:rFonts w:ascii="Times New Roman" w:eastAsia="Times New Roman" w:hAnsi="Times New Roman" w:cs="Times New Roman"/>
          <w:color w:val="000000" w:themeColor="text1"/>
        </w:rPr>
        <w:lastRenderedPageBreak/>
        <w:t>the information given is more likely to be accurate. This is because the information is provided willingly. An Individual’s attitude is another indicator while performing an assessment; persons who are willing to give information without being persuaded are likely to provide reliable data. Individual behavior and prevalence are other indicators while performing an assessment. All these can be used to tell the reliability of the information given by everyone.</w:t>
      </w:r>
    </w:p>
    <w:p w14:paraId="5B973B89" w14:textId="53D3D0D5" w:rsidR="006B7AD1" w:rsidRPr="0099421C" w:rsidRDefault="006B7AD1" w:rsidP="0042061E">
      <w:pPr>
        <w:spacing w:line="480" w:lineRule="auto"/>
        <w:rPr>
          <w:rFonts w:ascii="Times New Roman" w:eastAsia="Times New Roman" w:hAnsi="Times New Roman" w:cs="Times New Roman"/>
          <w:color w:val="000000" w:themeColor="text1"/>
        </w:rPr>
      </w:pPr>
    </w:p>
    <w:p w14:paraId="7FFF61F4" w14:textId="035DC109" w:rsidR="006B7AD1" w:rsidRPr="0099421C" w:rsidRDefault="006B7AD1" w:rsidP="0042061E">
      <w:pPr>
        <w:spacing w:line="480" w:lineRule="auto"/>
        <w:rPr>
          <w:rFonts w:ascii="Times New Roman" w:eastAsia="Times New Roman" w:hAnsi="Times New Roman" w:cs="Times New Roman"/>
          <w:color w:val="000000" w:themeColor="text1"/>
        </w:rPr>
      </w:pPr>
    </w:p>
    <w:p w14:paraId="3EC31F41" w14:textId="5E92E82A" w:rsidR="006B7AD1" w:rsidRPr="0099421C" w:rsidRDefault="006B7AD1" w:rsidP="0042061E">
      <w:pPr>
        <w:spacing w:line="480" w:lineRule="auto"/>
        <w:rPr>
          <w:rFonts w:ascii="Times New Roman" w:eastAsia="Times New Roman" w:hAnsi="Times New Roman" w:cs="Times New Roman"/>
          <w:color w:val="000000" w:themeColor="text1"/>
        </w:rPr>
      </w:pPr>
    </w:p>
    <w:p w14:paraId="44E16E25" w14:textId="174B67F2" w:rsidR="006B7AD1" w:rsidRPr="0099421C" w:rsidRDefault="006B7AD1" w:rsidP="0042061E">
      <w:pPr>
        <w:spacing w:line="480" w:lineRule="auto"/>
        <w:rPr>
          <w:rFonts w:ascii="Times New Roman" w:eastAsia="Times New Roman" w:hAnsi="Times New Roman" w:cs="Times New Roman"/>
          <w:color w:val="000000" w:themeColor="text1"/>
        </w:rPr>
      </w:pPr>
    </w:p>
    <w:p w14:paraId="42DF74F9" w14:textId="119747EE" w:rsidR="006B7AD1" w:rsidRPr="0099421C" w:rsidRDefault="006B7AD1" w:rsidP="0042061E">
      <w:pPr>
        <w:spacing w:line="480" w:lineRule="auto"/>
        <w:rPr>
          <w:rFonts w:ascii="Times New Roman" w:eastAsia="Times New Roman" w:hAnsi="Times New Roman" w:cs="Times New Roman"/>
          <w:color w:val="000000" w:themeColor="text1"/>
        </w:rPr>
      </w:pPr>
    </w:p>
    <w:p w14:paraId="73AF3645" w14:textId="23C1F9D7" w:rsidR="006B7AD1" w:rsidRPr="0099421C" w:rsidRDefault="006B7AD1" w:rsidP="0042061E">
      <w:pPr>
        <w:spacing w:line="480" w:lineRule="auto"/>
        <w:rPr>
          <w:rFonts w:ascii="Times New Roman" w:eastAsia="Times New Roman" w:hAnsi="Times New Roman" w:cs="Times New Roman"/>
          <w:color w:val="000000" w:themeColor="text1"/>
        </w:rPr>
      </w:pPr>
    </w:p>
    <w:p w14:paraId="639A81D9" w14:textId="39744C61" w:rsidR="006B7AD1" w:rsidRPr="0099421C" w:rsidRDefault="006B7AD1" w:rsidP="0042061E">
      <w:pPr>
        <w:spacing w:line="480" w:lineRule="auto"/>
        <w:rPr>
          <w:rFonts w:ascii="Times New Roman" w:eastAsia="Times New Roman" w:hAnsi="Times New Roman" w:cs="Times New Roman"/>
          <w:color w:val="000000" w:themeColor="text1"/>
        </w:rPr>
      </w:pPr>
    </w:p>
    <w:p w14:paraId="3DA30A51" w14:textId="32CFA08A" w:rsidR="006B7AD1" w:rsidRPr="0099421C" w:rsidRDefault="006B7AD1" w:rsidP="0042061E">
      <w:pPr>
        <w:spacing w:line="480" w:lineRule="auto"/>
        <w:rPr>
          <w:rFonts w:ascii="Times New Roman" w:eastAsia="Times New Roman" w:hAnsi="Times New Roman" w:cs="Times New Roman"/>
          <w:color w:val="000000" w:themeColor="text1"/>
        </w:rPr>
      </w:pPr>
    </w:p>
    <w:p w14:paraId="624EA32D" w14:textId="7DD6D567" w:rsidR="006B7AD1" w:rsidRPr="0099421C" w:rsidRDefault="006B7AD1" w:rsidP="0042061E">
      <w:pPr>
        <w:spacing w:line="480" w:lineRule="auto"/>
        <w:rPr>
          <w:rFonts w:ascii="Times New Roman" w:eastAsia="Times New Roman" w:hAnsi="Times New Roman" w:cs="Times New Roman"/>
          <w:color w:val="000000" w:themeColor="text1"/>
        </w:rPr>
      </w:pPr>
    </w:p>
    <w:p w14:paraId="35C5CB60" w14:textId="0017FE91" w:rsidR="006B7AD1" w:rsidRPr="0099421C" w:rsidRDefault="006B7AD1" w:rsidP="0042061E">
      <w:pPr>
        <w:spacing w:line="480" w:lineRule="auto"/>
        <w:rPr>
          <w:rFonts w:ascii="Times New Roman" w:eastAsia="Times New Roman" w:hAnsi="Times New Roman" w:cs="Times New Roman"/>
          <w:color w:val="000000" w:themeColor="text1"/>
        </w:rPr>
      </w:pPr>
    </w:p>
    <w:p w14:paraId="338DA83D" w14:textId="5C7C0267" w:rsidR="006B7AD1" w:rsidRPr="0099421C" w:rsidRDefault="006B7AD1" w:rsidP="0042061E">
      <w:pPr>
        <w:spacing w:line="480" w:lineRule="auto"/>
        <w:rPr>
          <w:rFonts w:ascii="Times New Roman" w:eastAsia="Times New Roman" w:hAnsi="Times New Roman" w:cs="Times New Roman"/>
          <w:color w:val="000000" w:themeColor="text1"/>
        </w:rPr>
      </w:pPr>
    </w:p>
    <w:p w14:paraId="1C751385" w14:textId="527A9095" w:rsidR="006B7AD1" w:rsidRPr="0099421C" w:rsidRDefault="006B7AD1" w:rsidP="0042061E">
      <w:pPr>
        <w:spacing w:line="480" w:lineRule="auto"/>
        <w:rPr>
          <w:rFonts w:ascii="Times New Roman" w:eastAsia="Times New Roman" w:hAnsi="Times New Roman" w:cs="Times New Roman"/>
          <w:color w:val="000000" w:themeColor="text1"/>
        </w:rPr>
      </w:pPr>
    </w:p>
    <w:p w14:paraId="430997F8" w14:textId="6217D7E3" w:rsidR="006B7AD1" w:rsidRPr="0099421C" w:rsidRDefault="006B7AD1" w:rsidP="0042061E">
      <w:pPr>
        <w:spacing w:line="480" w:lineRule="auto"/>
        <w:rPr>
          <w:rFonts w:ascii="Times New Roman" w:eastAsia="Times New Roman" w:hAnsi="Times New Roman" w:cs="Times New Roman"/>
          <w:color w:val="000000" w:themeColor="text1"/>
        </w:rPr>
      </w:pPr>
    </w:p>
    <w:p w14:paraId="47C214A7" w14:textId="7B9F27CD" w:rsidR="006B7AD1" w:rsidRDefault="006B7AD1" w:rsidP="0042061E">
      <w:pPr>
        <w:spacing w:line="480" w:lineRule="auto"/>
        <w:rPr>
          <w:rFonts w:ascii="Times New Roman" w:eastAsia="Times New Roman" w:hAnsi="Times New Roman" w:cs="Times New Roman"/>
          <w:color w:val="000000" w:themeColor="text1"/>
        </w:rPr>
      </w:pPr>
    </w:p>
    <w:p w14:paraId="23C6DB36" w14:textId="1ED46449" w:rsidR="006B7AD1" w:rsidRDefault="006B7AD1" w:rsidP="0042061E">
      <w:pPr>
        <w:spacing w:line="480" w:lineRule="auto"/>
        <w:rPr>
          <w:rFonts w:ascii="Times New Roman" w:eastAsia="Times New Roman" w:hAnsi="Times New Roman" w:cs="Times New Roman"/>
          <w:color w:val="000000" w:themeColor="text1"/>
        </w:rPr>
      </w:pPr>
    </w:p>
    <w:p w14:paraId="55180ACD" w14:textId="166342DA" w:rsidR="006B7AD1" w:rsidRDefault="006B7AD1" w:rsidP="0042061E">
      <w:pPr>
        <w:spacing w:line="480" w:lineRule="auto"/>
        <w:rPr>
          <w:rFonts w:ascii="Times New Roman" w:eastAsia="Times New Roman" w:hAnsi="Times New Roman" w:cs="Times New Roman"/>
          <w:color w:val="000000" w:themeColor="text1"/>
        </w:rPr>
      </w:pPr>
    </w:p>
    <w:p w14:paraId="790859A4" w14:textId="5063EE79" w:rsidR="006B7AD1" w:rsidRDefault="006B7AD1" w:rsidP="0042061E">
      <w:pPr>
        <w:spacing w:line="480" w:lineRule="auto"/>
        <w:rPr>
          <w:rFonts w:ascii="Times New Roman" w:eastAsia="Times New Roman" w:hAnsi="Times New Roman" w:cs="Times New Roman"/>
          <w:color w:val="000000" w:themeColor="text1"/>
        </w:rPr>
      </w:pPr>
    </w:p>
    <w:p w14:paraId="2DBA0A6C" w14:textId="5571CF40" w:rsidR="006B7AD1" w:rsidRDefault="006B7AD1" w:rsidP="0042061E">
      <w:pPr>
        <w:spacing w:line="480" w:lineRule="auto"/>
        <w:rPr>
          <w:rFonts w:ascii="Times New Roman" w:eastAsia="Times New Roman" w:hAnsi="Times New Roman" w:cs="Times New Roman"/>
          <w:color w:val="000000" w:themeColor="text1"/>
        </w:rPr>
      </w:pPr>
    </w:p>
    <w:p w14:paraId="0A28AE0F" w14:textId="3888CBCB" w:rsidR="00747E6C" w:rsidRPr="00747E6C" w:rsidRDefault="00747E6C" w:rsidP="00747E6C">
      <w:pPr>
        <w:spacing w:line="480" w:lineRule="auto"/>
        <w:jc w:val="center"/>
        <w:rPr>
          <w:rFonts w:ascii="Times New Roman" w:eastAsia="Times New Roman" w:hAnsi="Times New Roman" w:cs="Times New Roman"/>
          <w:color w:val="000000" w:themeColor="text1"/>
        </w:rPr>
      </w:pPr>
      <w:r w:rsidRPr="00747E6C">
        <w:rPr>
          <w:rFonts w:ascii="Times New Roman" w:eastAsia="Times New Roman" w:hAnsi="Times New Roman" w:cs="Times New Roman"/>
          <w:color w:val="000000" w:themeColor="text1"/>
        </w:rPr>
        <w:lastRenderedPageBreak/>
        <w:t>References</w:t>
      </w:r>
    </w:p>
    <w:p w14:paraId="72FF0209" w14:textId="77777777" w:rsidR="00747E6C" w:rsidRPr="00747E6C" w:rsidRDefault="00747E6C" w:rsidP="00747E6C">
      <w:pPr>
        <w:spacing w:line="480" w:lineRule="auto"/>
        <w:jc w:val="center"/>
        <w:rPr>
          <w:rFonts w:ascii="Times New Roman" w:eastAsia="Times New Roman" w:hAnsi="Times New Roman" w:cs="Times New Roman"/>
          <w:color w:val="000000" w:themeColor="text1"/>
        </w:rPr>
      </w:pPr>
    </w:p>
    <w:p w14:paraId="6318E278" w14:textId="77777777" w:rsidR="00747E6C" w:rsidRPr="00747E6C" w:rsidRDefault="00747E6C" w:rsidP="00747E6C">
      <w:pPr>
        <w:spacing w:line="480" w:lineRule="auto"/>
        <w:ind w:left="720" w:hanging="720"/>
        <w:rPr>
          <w:rFonts w:ascii="Times New Roman" w:hAnsi="Times New Roman" w:cs="Times New Roman"/>
          <w:color w:val="323232"/>
          <w:shd w:val="clear" w:color="auto" w:fill="FFFFFF"/>
        </w:rPr>
      </w:pPr>
      <w:r w:rsidRPr="00747E6C">
        <w:rPr>
          <w:rFonts w:ascii="Times New Roman" w:hAnsi="Times New Roman" w:cs="Times New Roman"/>
          <w:color w:val="323232"/>
          <w:shd w:val="clear" w:color="auto" w:fill="FFFFFF"/>
        </w:rPr>
        <w:t xml:space="preserve">Bull, F. C., Al-Ansari, S. S., Biddle, S., </w:t>
      </w:r>
      <w:proofErr w:type="spellStart"/>
      <w:r w:rsidRPr="00747E6C">
        <w:rPr>
          <w:rFonts w:ascii="Times New Roman" w:hAnsi="Times New Roman" w:cs="Times New Roman"/>
          <w:color w:val="323232"/>
          <w:shd w:val="clear" w:color="auto" w:fill="FFFFFF"/>
        </w:rPr>
        <w:t>Borodulin</w:t>
      </w:r>
      <w:proofErr w:type="spellEnd"/>
      <w:r w:rsidRPr="00747E6C">
        <w:rPr>
          <w:rFonts w:ascii="Times New Roman" w:hAnsi="Times New Roman" w:cs="Times New Roman"/>
          <w:color w:val="323232"/>
          <w:shd w:val="clear" w:color="auto" w:fill="FFFFFF"/>
        </w:rPr>
        <w:t xml:space="preserve">, K., </w:t>
      </w:r>
      <w:proofErr w:type="spellStart"/>
      <w:r w:rsidRPr="00747E6C">
        <w:rPr>
          <w:rFonts w:ascii="Times New Roman" w:hAnsi="Times New Roman" w:cs="Times New Roman"/>
          <w:color w:val="323232"/>
          <w:shd w:val="clear" w:color="auto" w:fill="FFFFFF"/>
        </w:rPr>
        <w:t>Buman</w:t>
      </w:r>
      <w:proofErr w:type="spellEnd"/>
      <w:r w:rsidRPr="00747E6C">
        <w:rPr>
          <w:rFonts w:ascii="Times New Roman" w:hAnsi="Times New Roman" w:cs="Times New Roman"/>
          <w:color w:val="323232"/>
          <w:shd w:val="clear" w:color="auto" w:fill="FFFFFF"/>
        </w:rPr>
        <w:t xml:space="preserve">, M. P., Cardon, G., . . . </w:t>
      </w:r>
      <w:proofErr w:type="spellStart"/>
      <w:r w:rsidRPr="00747E6C">
        <w:rPr>
          <w:rFonts w:ascii="Times New Roman" w:hAnsi="Times New Roman" w:cs="Times New Roman"/>
          <w:color w:val="323232"/>
          <w:shd w:val="clear" w:color="auto" w:fill="FFFFFF"/>
        </w:rPr>
        <w:t>Willumsen</w:t>
      </w:r>
      <w:proofErr w:type="spellEnd"/>
      <w:r w:rsidRPr="00747E6C">
        <w:rPr>
          <w:rFonts w:ascii="Times New Roman" w:hAnsi="Times New Roman" w:cs="Times New Roman"/>
          <w:color w:val="323232"/>
          <w:shd w:val="clear" w:color="auto" w:fill="FFFFFF"/>
        </w:rPr>
        <w:t xml:space="preserve">, J. F. (2020, December 01). World Health Organization 2020 guidelines on physical activity and sedentary behaviour. Retrieved October 18, 2021, from </w:t>
      </w:r>
      <w:hyperlink r:id="rId5" w:history="1">
        <w:r w:rsidRPr="00747E6C">
          <w:rPr>
            <w:rStyle w:val="Hyperlink"/>
            <w:rFonts w:ascii="Times New Roman" w:hAnsi="Times New Roman" w:cs="Times New Roman"/>
            <w:shd w:val="clear" w:color="auto" w:fill="FFFFFF"/>
          </w:rPr>
          <w:t>https://bjsm.bmj.com/content/54/24/1451</w:t>
        </w:r>
      </w:hyperlink>
    </w:p>
    <w:p w14:paraId="4CB5040A" w14:textId="77777777" w:rsidR="00747E6C" w:rsidRPr="00747E6C" w:rsidRDefault="00747E6C" w:rsidP="00747E6C">
      <w:pPr>
        <w:spacing w:line="480" w:lineRule="auto"/>
        <w:ind w:left="720" w:hanging="720"/>
        <w:rPr>
          <w:rFonts w:ascii="Times New Roman" w:hAnsi="Times New Roman" w:cs="Times New Roman"/>
          <w:color w:val="323232"/>
          <w:shd w:val="clear" w:color="auto" w:fill="FFFFFF"/>
        </w:rPr>
      </w:pPr>
      <w:r w:rsidRPr="00747E6C">
        <w:rPr>
          <w:rFonts w:ascii="Times New Roman" w:hAnsi="Times New Roman" w:cs="Times New Roman"/>
          <w:color w:val="323232"/>
          <w:shd w:val="clear" w:color="auto" w:fill="FFFFFF"/>
        </w:rPr>
        <w:t xml:space="preserve">De Lusignan, S., Lopez Bernal, J., </w:t>
      </w:r>
      <w:proofErr w:type="spellStart"/>
      <w:r w:rsidRPr="00747E6C">
        <w:rPr>
          <w:rFonts w:ascii="Times New Roman" w:hAnsi="Times New Roman" w:cs="Times New Roman"/>
          <w:color w:val="323232"/>
          <w:shd w:val="clear" w:color="auto" w:fill="FFFFFF"/>
        </w:rPr>
        <w:t>Zambon</w:t>
      </w:r>
      <w:proofErr w:type="spellEnd"/>
      <w:r w:rsidRPr="00747E6C">
        <w:rPr>
          <w:rFonts w:ascii="Times New Roman" w:hAnsi="Times New Roman" w:cs="Times New Roman"/>
          <w:color w:val="323232"/>
          <w:shd w:val="clear" w:color="auto" w:fill="FFFFFF"/>
        </w:rPr>
        <w:t xml:space="preserve">, M., Akinyemi, O., Amirthalingam, G., Andrews, N., . . . Hobbs, R. (2020, April 02). Emergence of a Novel Coronavirus (COVID-19): Protocol for Extending Surveillance Used by the Royal College of General Practitioners Research and Surveillance Centre and Public Health England. Retrieved October 18, 2021, from </w:t>
      </w:r>
      <w:hyperlink r:id="rId6" w:history="1">
        <w:r w:rsidRPr="00747E6C">
          <w:rPr>
            <w:rStyle w:val="Hyperlink"/>
            <w:rFonts w:ascii="Times New Roman" w:hAnsi="Times New Roman" w:cs="Times New Roman"/>
            <w:shd w:val="clear" w:color="auto" w:fill="FFFFFF"/>
          </w:rPr>
          <w:t>https://www.ncbi.nlm.nih.gov/pmc/articles/PMC7124955/</w:t>
        </w:r>
      </w:hyperlink>
    </w:p>
    <w:p w14:paraId="5768C36E" w14:textId="3DC691CE" w:rsidR="00747E6C" w:rsidRDefault="00747E6C" w:rsidP="00747E6C">
      <w:pPr>
        <w:spacing w:line="480" w:lineRule="auto"/>
        <w:ind w:left="720" w:hanging="720"/>
        <w:rPr>
          <w:rFonts w:ascii="Times New Roman" w:hAnsi="Times New Roman" w:cs="Times New Roman"/>
          <w:color w:val="323232"/>
          <w:shd w:val="clear" w:color="auto" w:fill="FFFFFF"/>
        </w:rPr>
      </w:pPr>
      <w:r w:rsidRPr="00747E6C">
        <w:rPr>
          <w:rFonts w:ascii="Times New Roman" w:hAnsi="Times New Roman" w:cs="Times New Roman"/>
          <w:color w:val="323232"/>
          <w:shd w:val="clear" w:color="auto" w:fill="FFFFFF"/>
        </w:rPr>
        <w:t xml:space="preserve">Levasseur, M., Dubois, M., </w:t>
      </w:r>
      <w:proofErr w:type="spellStart"/>
      <w:r w:rsidRPr="00747E6C">
        <w:rPr>
          <w:rFonts w:ascii="Times New Roman" w:hAnsi="Times New Roman" w:cs="Times New Roman"/>
          <w:color w:val="323232"/>
          <w:shd w:val="clear" w:color="auto" w:fill="FFFFFF"/>
        </w:rPr>
        <w:t>Généreux</w:t>
      </w:r>
      <w:proofErr w:type="spellEnd"/>
      <w:r w:rsidRPr="00747E6C">
        <w:rPr>
          <w:rFonts w:ascii="Times New Roman" w:hAnsi="Times New Roman" w:cs="Times New Roman"/>
          <w:color w:val="323232"/>
          <w:shd w:val="clear" w:color="auto" w:fill="FFFFFF"/>
        </w:rPr>
        <w:t xml:space="preserve">, M., </w:t>
      </w:r>
      <w:proofErr w:type="spellStart"/>
      <w:r w:rsidRPr="00747E6C">
        <w:rPr>
          <w:rFonts w:ascii="Times New Roman" w:hAnsi="Times New Roman" w:cs="Times New Roman"/>
          <w:color w:val="323232"/>
          <w:shd w:val="clear" w:color="auto" w:fill="FFFFFF"/>
        </w:rPr>
        <w:t>Menec</w:t>
      </w:r>
      <w:proofErr w:type="spellEnd"/>
      <w:r w:rsidRPr="00747E6C">
        <w:rPr>
          <w:rFonts w:ascii="Times New Roman" w:hAnsi="Times New Roman" w:cs="Times New Roman"/>
          <w:color w:val="323232"/>
          <w:shd w:val="clear" w:color="auto" w:fill="FFFFFF"/>
        </w:rPr>
        <w:t xml:space="preserve">, V., Raina, P., Roy, M., . . . St-Pierre, C. (2017, May 25). Capturing how age-friendly communities foster positive health, social </w:t>
      </w:r>
      <w:proofErr w:type="gramStart"/>
      <w:r w:rsidRPr="00747E6C">
        <w:rPr>
          <w:rFonts w:ascii="Times New Roman" w:hAnsi="Times New Roman" w:cs="Times New Roman"/>
          <w:color w:val="323232"/>
          <w:shd w:val="clear" w:color="auto" w:fill="FFFFFF"/>
        </w:rPr>
        <w:t>participation</w:t>
      </w:r>
      <w:proofErr w:type="gramEnd"/>
      <w:r w:rsidRPr="00747E6C">
        <w:rPr>
          <w:rFonts w:ascii="Times New Roman" w:hAnsi="Times New Roman" w:cs="Times New Roman"/>
          <w:color w:val="323232"/>
          <w:shd w:val="clear" w:color="auto" w:fill="FFFFFF"/>
        </w:rPr>
        <w:t xml:space="preserve"> and health equity: A study protocol of key components and processes that promote population health in aging Canadians. Retrieved October 18, 2021, from </w:t>
      </w:r>
      <w:hyperlink r:id="rId7" w:history="1">
        <w:r w:rsidRPr="001E4E06">
          <w:rPr>
            <w:rStyle w:val="Hyperlink"/>
            <w:rFonts w:ascii="Times New Roman" w:hAnsi="Times New Roman" w:cs="Times New Roman"/>
            <w:shd w:val="clear" w:color="auto" w:fill="FFFFFF"/>
          </w:rPr>
          <w:t>https://www.ncbi.nlm.nih.gov/pmc/articles/PMC5445415/</w:t>
        </w:r>
      </w:hyperlink>
    </w:p>
    <w:p w14:paraId="1B01D45E" w14:textId="77777777" w:rsidR="00747E6C" w:rsidRPr="00747E6C" w:rsidRDefault="00747E6C" w:rsidP="00747E6C">
      <w:pPr>
        <w:spacing w:line="480" w:lineRule="auto"/>
        <w:ind w:left="720" w:hanging="720"/>
        <w:rPr>
          <w:rFonts w:ascii="Times New Roman" w:hAnsi="Times New Roman" w:cs="Times New Roman"/>
        </w:rPr>
      </w:pPr>
    </w:p>
    <w:p w14:paraId="691E3DF5" w14:textId="77777777" w:rsidR="00747E6C" w:rsidRPr="00747E6C" w:rsidRDefault="00747E6C" w:rsidP="00747E6C">
      <w:pPr>
        <w:spacing w:line="480" w:lineRule="auto"/>
        <w:ind w:left="720" w:hanging="720"/>
        <w:rPr>
          <w:rFonts w:ascii="Times New Roman" w:hAnsi="Times New Roman" w:cs="Times New Roman"/>
        </w:rPr>
      </w:pPr>
    </w:p>
    <w:p w14:paraId="483BC887" w14:textId="77777777" w:rsidR="00747E6C" w:rsidRPr="00747E6C" w:rsidRDefault="00747E6C" w:rsidP="00747E6C">
      <w:pPr>
        <w:spacing w:line="480" w:lineRule="auto"/>
        <w:ind w:left="720" w:hanging="720"/>
        <w:rPr>
          <w:rFonts w:ascii="Times New Roman" w:hAnsi="Times New Roman" w:cs="Times New Roman"/>
        </w:rPr>
      </w:pPr>
    </w:p>
    <w:p w14:paraId="5E61A58C" w14:textId="77777777" w:rsidR="00747E6C" w:rsidRPr="00747E6C" w:rsidRDefault="00747E6C" w:rsidP="00747E6C">
      <w:pPr>
        <w:spacing w:line="480" w:lineRule="auto"/>
        <w:rPr>
          <w:rFonts w:ascii="Times New Roman" w:eastAsia="Times New Roman" w:hAnsi="Times New Roman" w:cs="Times New Roman"/>
          <w:color w:val="000000" w:themeColor="text1"/>
        </w:rPr>
      </w:pPr>
    </w:p>
    <w:p w14:paraId="4A7F573F" w14:textId="05D4677A" w:rsidR="00161DF2" w:rsidRDefault="00161DF2" w:rsidP="00161DF2">
      <w:pPr>
        <w:spacing w:line="480" w:lineRule="auto"/>
        <w:ind w:firstLine="720"/>
        <w:rPr>
          <w:rFonts w:ascii="Times New Roman" w:hAnsi="Times New Roman" w:cs="Times New Roman"/>
          <w:color w:val="000000" w:themeColor="text1"/>
        </w:rPr>
      </w:pPr>
    </w:p>
    <w:p w14:paraId="40926C6A" w14:textId="4C560815" w:rsidR="00747E6C" w:rsidRDefault="00747E6C" w:rsidP="00161DF2">
      <w:pPr>
        <w:spacing w:line="480" w:lineRule="auto"/>
        <w:ind w:firstLine="720"/>
        <w:rPr>
          <w:rFonts w:ascii="Times New Roman" w:hAnsi="Times New Roman" w:cs="Times New Roman"/>
          <w:color w:val="000000" w:themeColor="text1"/>
        </w:rPr>
      </w:pPr>
    </w:p>
    <w:p w14:paraId="1B80E4D9" w14:textId="3AD81CCB" w:rsidR="00747E6C" w:rsidRDefault="00747E6C" w:rsidP="00161DF2">
      <w:pPr>
        <w:spacing w:line="480" w:lineRule="auto"/>
        <w:ind w:firstLine="720"/>
        <w:rPr>
          <w:rFonts w:ascii="Times New Roman" w:hAnsi="Times New Roman" w:cs="Times New Roman"/>
          <w:color w:val="000000" w:themeColor="text1"/>
        </w:rPr>
      </w:pPr>
    </w:p>
    <w:p w14:paraId="04BCBCF2" w14:textId="77777777" w:rsidR="00747E6C" w:rsidRDefault="00747E6C" w:rsidP="00747E6C">
      <w:pPr>
        <w:pStyle w:val="Default"/>
        <w:jc w:val="center"/>
        <w:rPr>
          <w:b/>
          <w:bCs/>
          <w:sz w:val="22"/>
          <w:szCs w:val="22"/>
        </w:rPr>
      </w:pPr>
    </w:p>
    <w:p w14:paraId="0FD567EC" w14:textId="77777777" w:rsidR="00747E6C" w:rsidRPr="008426A3" w:rsidRDefault="00747E6C" w:rsidP="00161DF2">
      <w:pPr>
        <w:spacing w:line="480" w:lineRule="auto"/>
        <w:ind w:firstLine="720"/>
        <w:rPr>
          <w:rFonts w:ascii="Times New Roman" w:hAnsi="Times New Roman" w:cs="Times New Roman"/>
          <w:color w:val="000000" w:themeColor="text1"/>
        </w:rPr>
      </w:pPr>
    </w:p>
    <w:sectPr w:rsidR="00747E6C" w:rsidRPr="008426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6665"/>
    <w:multiLevelType w:val="hybridMultilevel"/>
    <w:tmpl w:val="07AA563C"/>
    <w:lvl w:ilvl="0" w:tplc="8692123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20748"/>
    <w:multiLevelType w:val="hybridMultilevel"/>
    <w:tmpl w:val="0F2E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80528"/>
    <w:multiLevelType w:val="hybridMultilevel"/>
    <w:tmpl w:val="120005A6"/>
    <w:lvl w:ilvl="0" w:tplc="869212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F2"/>
    <w:rsid w:val="00051374"/>
    <w:rsid w:val="00161DF2"/>
    <w:rsid w:val="001A47A4"/>
    <w:rsid w:val="001D7910"/>
    <w:rsid w:val="00284516"/>
    <w:rsid w:val="002F7768"/>
    <w:rsid w:val="0042061E"/>
    <w:rsid w:val="004649A9"/>
    <w:rsid w:val="006667D6"/>
    <w:rsid w:val="006B4A10"/>
    <w:rsid w:val="006B7AD1"/>
    <w:rsid w:val="00747E6C"/>
    <w:rsid w:val="008426A3"/>
    <w:rsid w:val="00847013"/>
    <w:rsid w:val="009942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41A0"/>
  <w15:chartTrackingRefBased/>
  <w15:docId w15:val="{48B2C91C-3378-7E4C-98A5-AE8022C5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DF2"/>
    <w:pPr>
      <w:ind w:left="720"/>
      <w:contextualSpacing/>
    </w:pPr>
  </w:style>
  <w:style w:type="character" w:styleId="Hyperlink">
    <w:name w:val="Hyperlink"/>
    <w:basedOn w:val="DefaultParagraphFont"/>
    <w:uiPriority w:val="99"/>
    <w:unhideWhenUsed/>
    <w:rsid w:val="00747E6C"/>
    <w:rPr>
      <w:color w:val="0563C1" w:themeColor="hyperlink"/>
      <w:u w:val="single"/>
    </w:rPr>
  </w:style>
  <w:style w:type="character" w:styleId="UnresolvedMention">
    <w:name w:val="Unresolved Mention"/>
    <w:basedOn w:val="DefaultParagraphFont"/>
    <w:uiPriority w:val="99"/>
    <w:semiHidden/>
    <w:unhideWhenUsed/>
    <w:rsid w:val="00747E6C"/>
    <w:rPr>
      <w:color w:val="605E5C"/>
      <w:shd w:val="clear" w:color="auto" w:fill="E1DFDD"/>
    </w:rPr>
  </w:style>
  <w:style w:type="paragraph" w:customStyle="1" w:styleId="Default">
    <w:name w:val="Default"/>
    <w:rsid w:val="00747E6C"/>
    <w:pPr>
      <w:autoSpaceDE w:val="0"/>
      <w:autoSpaceDN w:val="0"/>
      <w:adjustRightInd w:val="0"/>
    </w:pPr>
    <w:rPr>
      <w:rFonts w:ascii="Arial" w:eastAsia="Calibri"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445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7124955/" TargetMode="External"/><Relationship Id="rId5" Type="http://schemas.openxmlformats.org/officeDocument/2006/relationships/hyperlink" Target="https://bjsm.bmj.com/content/54/24/14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Amit Singh</cp:lastModifiedBy>
  <cp:revision>9</cp:revision>
  <dcterms:created xsi:type="dcterms:W3CDTF">2021-10-18T22:54:00Z</dcterms:created>
  <dcterms:modified xsi:type="dcterms:W3CDTF">2021-11-23T18:33:00Z</dcterms:modified>
</cp:coreProperties>
</file>